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</w:pPr>
      <w:r>
        <w:rPr>
          <w:rFonts w:ascii="Calibri" w:cs="Calibri" w:eastAsia="Calibri" w:hAnsi="Calibri"/>
          <w:b/>
          <w:bCs/>
          <w:color w:val="B98A3E"/>
          <w:spacing w:val="60"/>
          <w:sz w:val="19"/>
          <w:szCs w:val="19"/>
        </w:rPr>
        <w:t xml:space="preserve">CAREBRIDGE FINANCIAL MANAGEMENT LLC</w:t>
      </w:r>
    </w:p>
    <w:p>
      <w:pPr>
        <w:spacing w:after="100"/>
      </w:pPr>
      <w:r>
        <w:rPr>
          <w:rFonts w:ascii="Calibri" w:cs="Calibri" w:eastAsia="Calibri" w:hAnsi="Calibri"/>
          <w:b/>
          <w:bCs/>
          <w:color w:val="122B5C"/>
          <w:sz w:val="40"/>
          <w:szCs w:val="40"/>
        </w:rPr>
        <w:t xml:space="preserve">Client Onboarding Standard Operating Procedure</w:t>
      </w:r>
    </w:p>
    <w:p>
      <w:pPr>
        <w:pBdr>
          <w:bottom w:val="single" w:color="122B5C" w:sz="12"/>
        </w:pBdr>
        <w:spacing w:after="260"/>
      </w:pPr>
    </w:p>
    <w:tbl>
      <w:tblPr>
        <w:tblW w:type="dxa" w:w="9360"/>
        <w:tblBorders>
          <w:top w:val="single" w:color="DDE3EC" w:sz="4"/>
          <w:left w:val="single" w:color="DDE3EC" w:sz="4"/>
          <w:bottom w:val="single" w:color="DDE3EC" w:sz="4"/>
          <w:right w:val="single" w:color="DDE3EC" w:sz="4"/>
          <w:insideH w:val="single" w:color="DDE3EC" w:sz="4"/>
          <w:insideV w:val="single" w:color="DDE3EC" w:sz="4"/>
        </w:tblBorders>
      </w:tblPr>
      <w:tblGrid>
        <w:gridCol w:w="2200"/>
        <w:gridCol w:w="7160"/>
      </w:tblGrid>
      <w:tr>
        <w:tc>
          <w:tcPr>
            <w:tcW w:type="dxa" w:w="22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Document</w:t>
            </w:r>
          </w:p>
        </w:tc>
        <w:tc>
          <w:tcPr>
            <w:tcW w:type="dxa" w:w="71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Client Onboarding SOP</w:t>
            </w:r>
          </w:p>
        </w:tc>
      </w:tr>
      <w:tr>
        <w:tc>
          <w:tcPr>
            <w:tcW w:type="dxa" w:w="22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Version</w:t>
            </w:r>
          </w:p>
        </w:tc>
        <w:tc>
          <w:tcPr>
            <w:tcW w:type="dxa" w:w="71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1.0</w:t>
            </w:r>
          </w:p>
        </w:tc>
      </w:tr>
      <w:tr>
        <w:tc>
          <w:tcPr>
            <w:tcW w:type="dxa" w:w="22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Owner</w:t>
            </w:r>
          </w:p>
        </w:tc>
        <w:tc>
          <w:tcPr>
            <w:tcW w:type="dxa" w:w="71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CareBridge Financial Management LLC</w:t>
            </w:r>
          </w:p>
        </w:tc>
      </w:tr>
      <w:tr>
        <w:tc>
          <w:tcPr>
            <w:tcW w:type="dxa" w:w="22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Effective Date</w:t>
            </w:r>
          </w:p>
        </w:tc>
        <w:tc>
          <w:tcPr>
            <w:tcW w:type="dxa" w:w="71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[Date]</w:t>
            </w:r>
          </w:p>
        </w:tc>
      </w:tr>
    </w:tbl>
    <w:p>
      <w:pPr>
        <w:spacing w:after="200"/>
      </w:pP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1.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PURPOSE</w:t>
      </w:r>
    </w:p>
    <w:p>
      <w:pPr>
        <w:spacing w:after="14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This SOP establishes the standard process for onboarding a new healthcare client into CareBridge's revenue cycle management services.</w:t>
      </w:r>
    </w:p>
    <w:tbl>
      <w:tblPr>
        <w:tblW w:type="dxa" w:w="9360"/>
        <w:tblBorders>
          <w:top w:val="none" w:color="FFFFFF" w:sz="0"/>
          <w:left w:val="single" w:color="B98A3E" w:sz="18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c>
          <w:tcPr>
            <w:tcW w:type="dxa" w:w="9360"/>
            <w:shd w:fill="F5F7FA" w:color="auto" w:val="clear"/>
            <w:tcMar>
              <w:top w:type="dxa" w:w="160"/>
              <w:left w:type="dxa" w:w="220"/>
              <w:bottom w:type="dxa" w:w="160"/>
              <w:right w:type="dxa" w:w="220"/>
            </w:tcMar>
          </w:tcPr>
          <w:p>
            <w:pPr>
              <w:spacing w:line="264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color w:val="2F3947"/>
                <w:sz w:val="21"/>
                <w:szCs w:val="21"/>
              </w:rPr>
              <w:t xml:space="preserve">No client PHI should be accessed by CareBridge personnel until the required contractual and security requirements have been completed.</w:t>
            </w:r>
          </w:p>
        </w:tc>
      </w:tr>
    </w:tbl>
    <w:p>
      <w:pPr>
        <w:spacing w:after="80"/>
      </w:pP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2.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PRE-ONBOARDING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  <w:color w:val="2F3947"/>
          <w:sz w:val="21"/>
          <w:szCs w:val="21"/>
        </w:rPr>
        <w:t xml:space="preserve">The Business Development/Management team shall collect: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Legal business name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Practice address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Specialty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Number of providers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Number of locations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NPI information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Tax ID information as appropriate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Payer mix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Average monthly claims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Average monthly collections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Current A/R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A/R over 90 days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Current denial rate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Current billing process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EHR/PM system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Clearinghouse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Major payer relationships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Existing billing problems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Current RCM vendor, if applicable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3.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REQUIRED DOCUMENTS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  <w:color w:val="2F3947"/>
          <w:sz w:val="21"/>
          <w:szCs w:val="21"/>
        </w:rPr>
        <w:t xml:space="preserve">Before PHI access: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Master RCM Services Agreement signed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Business Associate Agreement signed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Statement of Services completed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Pricing approved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Authorized client contact identified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System-access authorization completed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Security requirements reviewed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CareBridge personnel assigned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Subcontractor agreements completed where applicable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HIPAA training completed by personnel requiring PHI access</w:t>
      </w:r>
    </w:p>
    <w:p>
      <w:pPr>
        <w:spacing w:after="100"/>
      </w:pPr>
    </w:p>
    <w:tbl>
      <w:tblPr>
        <w:tblW w:type="dxa" w:w="9360"/>
        <w:tblBorders>
          <w:top w:val="none" w:color="FFFFFF" w:sz="0"/>
          <w:left w:val="single" w:color="DDE3EC" w:sz="18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c>
          <w:tcPr>
            <w:tcW w:type="dxa" w:w="9360"/>
            <w:shd w:fill="F5F7FA" w:color="auto" w:val="clear"/>
            <w:tcMar>
              <w:top w:type="dxa" w:w="160"/>
              <w:left w:type="dxa" w:w="220"/>
              <w:bottom w:type="dxa" w:w="160"/>
              <w:right w:type="dxa" w:w="220"/>
            </w:tcMar>
          </w:tcPr>
          <w:p>
            <w:pPr>
              <w:spacing w:line="264"/>
            </w:pPr>
            <w:r>
              <w:rPr>
                <w:rFonts w:ascii="Calibri" w:cs="Calibri" w:eastAsia="Calibri" w:hAnsi="Calibri"/>
                <w:b w:val="false"/>
                <w:bCs w:val="false"/>
                <w:i/>
                <w:iCs/>
                <w:color w:val="66707F"/>
                <w:sz w:val="19"/>
                <w:szCs w:val="19"/>
              </w:rPr>
              <w:t xml:space="preserve">HHS guidance requires appropriate written arrangements for business associates handling PHI, including requirements concerning safeguards and subcontractors.</w:t>
            </w:r>
          </w:p>
        </w:tc>
      </w:tr>
    </w:tbl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4.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SYSTEM ACCESS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  <w:color w:val="2F3947"/>
          <w:sz w:val="21"/>
          <w:szCs w:val="21"/>
        </w:rPr>
        <w:t xml:space="preserve">For each system:</w:t>
      </w:r>
    </w:p>
    <w:tbl>
      <w:tblPr>
        <w:tblW w:type="dxa" w:w="9360"/>
        <w:tblBorders>
          <w:top w:val="single" w:color="DDE3EC" w:sz="4"/>
          <w:left w:val="single" w:color="DDE3EC" w:sz="4"/>
          <w:bottom w:val="single" w:color="DDE3EC" w:sz="4"/>
          <w:right w:val="single" w:color="DDE3EC" w:sz="4"/>
          <w:insideH w:val="single" w:color="DDE3EC" w:sz="4"/>
          <w:insideV w:val="single" w:color="DDE3EC" w:sz="4"/>
        </w:tblBorders>
      </w:tblPr>
      <w:tblGrid>
        <w:gridCol w:w="3000"/>
        <w:gridCol w:w="6360"/>
      </w:tblGrid>
      <w:tr>
        <w:tc>
          <w:tcPr>
            <w:tcW w:type="dxa" w:w="30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System</w:t>
            </w:r>
          </w:p>
        </w:tc>
        <w:tc>
          <w:tcPr>
            <w:tcW w:type="dxa" w:w="63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30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Purpose</w:t>
            </w:r>
          </w:p>
        </w:tc>
        <w:tc>
          <w:tcPr>
            <w:tcW w:type="dxa" w:w="63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30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Client administrator</w:t>
            </w:r>
          </w:p>
        </w:tc>
        <w:tc>
          <w:tcPr>
            <w:tcW w:type="dxa" w:w="63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30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CareBridge users</w:t>
            </w:r>
          </w:p>
        </w:tc>
        <w:tc>
          <w:tcPr>
            <w:tcW w:type="dxa" w:w="63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30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Access level</w:t>
            </w:r>
          </w:p>
        </w:tc>
        <w:tc>
          <w:tcPr>
            <w:tcW w:type="dxa" w:w="63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30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MFA enabled</w:t>
            </w:r>
          </w:p>
        </w:tc>
        <w:tc>
          <w:tcPr>
            <w:tcW w:type="dxa" w:w="63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Yes    /    No</w:t>
            </w:r>
          </w:p>
        </w:tc>
      </w:tr>
    </w:tbl>
    <w:p>
      <w:pPr>
        <w:spacing w:after="160"/>
      </w:pPr>
    </w:p>
    <w:p>
      <w:pPr>
        <w:spacing w:after="14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CareBridge should use individual user accounts whenever available rather than sharing credentials.</w:t>
      </w:r>
    </w:p>
    <w:p>
      <w:pPr>
        <w:spacing w:after="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Access should be limited to the information necessary for the person's assigned responsibilities.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5.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DATA COLLECTION</w:t>
      </w:r>
    </w:p>
    <w:p>
      <w:pPr>
        <w:spacing w:after="14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The client provides the agreed information required for billing operations.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  <w:color w:val="2F3947"/>
          <w:sz w:val="21"/>
          <w:szCs w:val="21"/>
        </w:rPr>
        <w:t xml:space="preserve">The onboarding team verifies: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Patient demographic workflow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Insurance information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Provider information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CPT/HCPCS workflow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ICD-10 documentation workflow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Modifiers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Payer rules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Authorization requirements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Claim submission requirements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Payment-posting workflow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Denial categories</w:t>
      </w:r>
    </w:p>
    <w:p>
      <w:pPr>
        <w:pStyle w:val="ListParagraph"/>
        <w:numPr>
          <w:ilvl w:val="0"/>
          <w:numId w:val="2"/>
        </w:numPr>
        <w:spacing w:after="40" w:line="264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A/R workflow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6.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BASELINE ANALYSIS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  <w:color w:val="2F3947"/>
          <w:sz w:val="21"/>
          <w:szCs w:val="21"/>
        </w:rPr>
        <w:t xml:space="preserve">Before go-live, CareBridge should document the client's baseline:</w:t>
      </w:r>
    </w:p>
    <w:tbl>
      <w:tblPr>
        <w:tblW w:type="dxa" w:w="9360"/>
        <w:tblBorders>
          <w:top w:val="single" w:color="DDE3EC" w:sz="4"/>
          <w:left w:val="single" w:color="DDE3EC" w:sz="4"/>
          <w:bottom w:val="single" w:color="DDE3EC" w:sz="4"/>
          <w:right w:val="single" w:color="DDE3EC" w:sz="4"/>
          <w:insideH w:val="single" w:color="DDE3EC" w:sz="4"/>
          <w:insideV w:val="single" w:color="DDE3EC" w:sz="4"/>
        </w:tblBorders>
      </w:tblPr>
      <w:tblGrid>
        <w:gridCol w:w="5400"/>
        <w:gridCol w:w="3960"/>
      </w:tblGrid>
      <w:tr>
        <w:trPr>
          <w:tblHeader/>
        </w:trPr>
        <w:tc>
          <w:tcPr>
            <w:tcW w:type="dxa" w:w="5400"/>
            <w:shd w:fill="122B5C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16"/>
                <w:sz w:val="19"/>
                <w:szCs w:val="19"/>
              </w:rPr>
              <w:t xml:space="preserve">KPI</w:t>
            </w:r>
          </w:p>
        </w:tc>
        <w:tc>
          <w:tcPr>
            <w:tcW w:type="dxa" w:w="3960"/>
            <w:shd w:fill="122B5C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pacing w:val="16"/>
                <w:sz w:val="19"/>
                <w:szCs w:val="19"/>
              </w:rPr>
              <w:t xml:space="preserve">BASELINE</w:t>
            </w:r>
          </w:p>
        </w:tc>
      </w:tr>
      <w:tr>
        <w:tc>
          <w:tcPr>
            <w:tcW w:type="dxa" w:w="54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Monthly claims</w:t>
            </w:r>
          </w:p>
        </w:tc>
        <w:tc>
          <w:tcPr>
            <w:tcW w:type="dxa" w:w="39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Monthly charges</w:t>
            </w:r>
          </w:p>
        </w:tc>
        <w:tc>
          <w:tcPr>
            <w:tcW w:type="dxa" w:w="39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Monthly collections</w:t>
            </w:r>
          </w:p>
        </w:tc>
        <w:tc>
          <w:tcPr>
            <w:tcW w:type="dxa" w:w="39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Clean claim rate</w:t>
            </w:r>
          </w:p>
        </w:tc>
        <w:tc>
          <w:tcPr>
            <w:tcW w:type="dxa" w:w="39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Denial rate</w:t>
            </w:r>
          </w:p>
        </w:tc>
        <w:tc>
          <w:tcPr>
            <w:tcW w:type="dxa" w:w="39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Days in A/R</w:t>
            </w:r>
          </w:p>
        </w:tc>
        <w:tc>
          <w:tcPr>
            <w:tcW w:type="dxa" w:w="39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A/R &gt;90 days</w:t>
            </w:r>
          </w:p>
        </w:tc>
        <w:tc>
          <w:tcPr>
            <w:tcW w:type="dxa" w:w="39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A/R &gt;120 days</w:t>
            </w:r>
          </w:p>
        </w:tc>
        <w:tc>
          <w:tcPr>
            <w:tcW w:type="dxa" w:w="39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Payment posting lag</w:t>
            </w:r>
          </w:p>
        </w:tc>
        <w:tc>
          <w:tcPr>
            <w:tcW w:type="dxa" w:w="39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54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Outstanding claims</w:t>
            </w:r>
          </w:p>
        </w:tc>
        <w:tc>
          <w:tcPr>
            <w:tcW w:type="dxa" w:w="39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66707F"/>
                <w:sz w:val="21"/>
                <w:szCs w:val="21"/>
              </w:rPr>
              <w:t xml:space="preserve"/>
            </w:r>
          </w:p>
        </w:tc>
      </w:tr>
    </w:tbl>
    <w:p>
      <w:pPr>
        <w:spacing w:after="160"/>
      </w:pPr>
    </w:p>
    <w:p>
      <w:pPr>
        <w:spacing w:after="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This baseline becomes the reference point for future reporting.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7.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GO-LIVE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  <w:color w:val="2F3947"/>
          <w:sz w:val="21"/>
          <w:szCs w:val="21"/>
        </w:rPr>
        <w:t xml:space="preserve">The RCM Manager confirms: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Contracts complete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Access complete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Team trained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Workflow documented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Payer information verified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Reporting established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Escalation contacts established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First claim workflow tested</w:t>
      </w:r>
    </w:p>
    <w:p>
      <w:pPr>
        <w:spacing w:after="70" w:line="264"/>
        <w:ind w:left="360"/>
      </w:pPr>
      <w:r>
        <w:rPr>
          <w:rFonts w:ascii="Segoe UI Symbol" w:cs="Segoe UI Symbol" w:eastAsia="Segoe UI Symbol" w:hAnsi="Segoe UI Symbol"/>
          <w:color w:val="122B5C"/>
          <w:sz w:val="22"/>
          <w:szCs w:val="22"/>
        </w:rPr>
        <w:t xml:space="preserve">☐</w:t>
      </w:r>
      <w:r>
        <w:rPr>
          <w:rFonts w:ascii="Calibri" w:cs="Calibri" w:eastAsia="Calibri" w:hAnsi="Calibri"/>
          <w:color w:val="2F3947"/>
          <w:sz w:val="21"/>
          <w:szCs w:val="21"/>
        </w:rPr>
        <w:t xml:space="preserve">  Client approves go-live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8.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FIRST 30 DAYS</w:t>
      </w:r>
    </w:p>
    <w:p>
      <w:pPr>
        <w:spacing w:after="120" w:line="276"/>
      </w:pPr>
      <w:r>
        <w:rPr>
          <w:rFonts w:ascii="Calibri" w:cs="Calibri" w:eastAsia="Calibri" w:hAnsi="Calibri"/>
          <w:b/>
          <w:bCs/>
          <w:color w:val="2F3947"/>
          <w:sz w:val="21"/>
          <w:szCs w:val="21"/>
        </w:rPr>
        <w:t xml:space="preserve">During the first 30 days:</w:t>
      </w:r>
    </w:p>
    <w:tbl>
      <w:tblPr>
        <w:tblW w:type="dxa" w:w="9360"/>
        <w:tblBorders>
          <w:top w:val="single" w:color="DDE3EC" w:sz="4"/>
          <w:left w:val="single" w:color="DDE3EC" w:sz="4"/>
          <w:bottom w:val="single" w:color="DDE3EC" w:sz="4"/>
          <w:right w:val="single" w:color="DDE3EC" w:sz="4"/>
          <w:insideH w:val="single" w:color="DDE3EC" w:sz="4"/>
          <w:insideV w:val="single" w:color="DDE3EC" w:sz="4"/>
        </w:tblBorders>
      </w:tblPr>
      <w:tblGrid>
        <w:gridCol w:w="2200"/>
        <w:gridCol w:w="7160"/>
      </w:tblGrid>
      <w:tr>
        <w:tc>
          <w:tcPr>
            <w:tcW w:type="dxa" w:w="22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Week 1</w:t>
            </w:r>
          </w:p>
        </w:tc>
        <w:tc>
          <w:tcPr>
            <w:tcW w:type="dxa" w:w="71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Workflow stabilization</w:t>
            </w:r>
          </w:p>
        </w:tc>
      </w:tr>
      <w:tr>
        <w:tc>
          <w:tcPr>
            <w:tcW w:type="dxa" w:w="22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Week 2</w:t>
            </w:r>
          </w:p>
        </w:tc>
        <w:tc>
          <w:tcPr>
            <w:tcW w:type="dxa" w:w="71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Claim and denial review</w:t>
            </w:r>
          </w:p>
        </w:tc>
      </w:tr>
      <w:tr>
        <w:tc>
          <w:tcPr>
            <w:tcW w:type="dxa" w:w="220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Week 3</w:t>
            </w:r>
          </w:p>
        </w:tc>
        <w:tc>
          <w:tcPr>
            <w:tcW w:type="dxa" w:w="7160"/>
            <w:shd w:fill="FFFFFF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A/R analysis</w:t>
            </w:r>
          </w:p>
        </w:tc>
      </w:tr>
      <w:tr>
        <w:tc>
          <w:tcPr>
            <w:tcW w:type="dxa" w:w="220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2F3947"/>
                <w:sz w:val="21"/>
                <w:szCs w:val="21"/>
              </w:rPr>
              <w:t xml:space="preserve">Week 4</w:t>
            </w:r>
          </w:p>
        </w:tc>
        <w:tc>
          <w:tcPr>
            <w:tcW w:type="dxa" w:w="7160"/>
            <w:shd w:fill="F5F7FA" w:color="auto" w:val="clear"/>
            <w:tcMar>
              <w:top w:type="dxa" w:w="90"/>
              <w:left w:type="dxa" w:w="140"/>
              <w:bottom w:type="dxa" w:w="90"/>
              <w:right w:type="dxa" w:w="140"/>
            </w:tcMar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2F3947"/>
                <w:sz w:val="21"/>
                <w:szCs w:val="21"/>
              </w:rPr>
              <w:t xml:space="preserve">Performance review</w:t>
            </w:r>
          </w:p>
        </w:tc>
      </w:tr>
    </w:tbl>
    <w:p>
      <w:pPr>
        <w:spacing w:after="160"/>
      </w:pPr>
    </w:p>
    <w:p>
      <w:pPr>
        <w:spacing w:after="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The RCM Manager provides a written 30-day report to management and the client.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B98A3E"/>
          <w:sz w:val="24"/>
          <w:szCs w:val="24"/>
        </w:rPr>
        <w:t xml:space="preserve">9.  </w:t>
      </w:r>
      <w:r>
        <w:rPr>
          <w:rFonts w:ascii="Calibri" w:cs="Calibri" w:eastAsia="Calibri" w:hAnsi="Calibri"/>
          <w:b/>
          <w:bCs/>
          <w:color w:val="122B5C"/>
          <w:spacing w:val="12"/>
          <w:sz w:val="24"/>
          <w:szCs w:val="24"/>
        </w:rPr>
        <w:t xml:space="preserve">SECURITY INCIDENT</w:t>
      </w:r>
    </w:p>
    <w:p>
      <w:pPr>
        <w:spacing w:after="14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Any suspected unauthorized access, disclosure, loss, theft, malware event, or other security incident must immediately be reported internally.</w:t>
      </w:r>
    </w:p>
    <w:tbl>
      <w:tblPr>
        <w:tblW w:type="dxa" w:w="9360"/>
        <w:tblBorders>
          <w:top w:val="none" w:color="FFFFFF" w:sz="0"/>
          <w:left w:val="single" w:color="B98A3E" w:sz="18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c>
          <w:tcPr>
            <w:tcW w:type="dxa" w:w="9360"/>
            <w:shd w:fill="F5F7FA" w:color="auto" w:val="clear"/>
            <w:tcMar>
              <w:top w:type="dxa" w:w="160"/>
              <w:left w:type="dxa" w:w="220"/>
              <w:bottom w:type="dxa" w:w="160"/>
              <w:right w:type="dxa" w:w="220"/>
            </w:tcMar>
          </w:tcPr>
          <w:p>
            <w:pPr>
              <w:spacing w:line="264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color w:val="2F3947"/>
                <w:sz w:val="21"/>
                <w:szCs w:val="21"/>
              </w:rPr>
              <w:t xml:space="preserve">Personnel must not attempt to hide, delete, alter, or independently investigate evidence of an incident.</w:t>
            </w:r>
          </w:p>
        </w:tc>
      </w:tr>
    </w:tbl>
    <w:p>
      <w:pPr>
        <w:spacing w:after="120"/>
      </w:pPr>
    </w:p>
    <w:p>
      <w:pPr>
        <w:spacing w:after="140" w:line="276"/>
      </w:pPr>
      <w:r>
        <w:rPr>
          <w:rFonts w:ascii="Calibri" w:cs="Calibri" w:eastAsia="Calibri" w:hAnsi="Calibri"/>
          <w:color w:val="2F3947"/>
          <w:sz w:val="21"/>
          <w:szCs w:val="21"/>
        </w:rPr>
        <w:t xml:space="preserve">CareBridge management initiates the incident-response process and determines appropriate client notification in accordance with the BAA and applicable law.</w:t>
      </w:r>
    </w:p>
    <w:tbl>
      <w:tblPr>
        <w:tblW w:type="dxa" w:w="9360"/>
        <w:tblBorders>
          <w:top w:val="none" w:color="FFFFFF" w:sz="0"/>
          <w:left w:val="single" w:color="DDE3EC" w:sz="18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c>
          <w:tcPr>
            <w:tcW w:type="dxa" w:w="9360"/>
            <w:shd w:fill="F5F7FA" w:color="auto" w:val="clear"/>
            <w:tcMar>
              <w:top w:type="dxa" w:w="160"/>
              <w:left w:type="dxa" w:w="220"/>
              <w:bottom w:type="dxa" w:w="160"/>
              <w:right w:type="dxa" w:w="220"/>
            </w:tcMar>
          </w:tcPr>
          <w:p>
            <w:pPr>
              <w:spacing w:line="264"/>
            </w:pPr>
            <w:r>
              <w:rPr>
                <w:rFonts w:ascii="Calibri" w:cs="Calibri" w:eastAsia="Calibri" w:hAnsi="Calibri"/>
                <w:b w:val="false"/>
                <w:bCs w:val="false"/>
                <w:i/>
                <w:iCs/>
                <w:color w:val="66707F"/>
                <w:sz w:val="19"/>
                <w:szCs w:val="19"/>
              </w:rPr>
              <w:t xml:space="preserve">HHS states that business associates must identify/respond to security incidents, mitigate harmful effects where practicable, and document incidents and outcomes.</w:t>
            </w:r>
          </w:p>
        </w:tc>
      </w:tr>
    </w:tbl>
    <w:sectPr>
      <w:footerReference w:type="default" r:id="rId6"/>
      <w:pgSz w:w="12240" w:h="15840" w:orient="portrait"/>
      <w:pgMar w:top="1440" w:right="1440" w:bottom="1440" w:left="1440" w:header="708" w:footer="72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DE3EC" w:sz="4"/>
      </w:pBdr>
      <w:spacing w:before="60"/>
    </w:pPr>
  </w:p>
  <w:p>
    <w:r>
      <w:rPr>
        <w:rFonts w:ascii="Calibri" w:cs="Calibri" w:eastAsia="Calibri" w:hAnsi="Calibri"/>
        <w:color w:val="66707F"/>
        <w:sz w:val="16"/>
        <w:szCs w:val="16"/>
      </w:rPr>
      <w:t xml:space="preserve">CareBridge Financial Management LLC  ·  Client Onboarding SOP v1.0  ·  Page </w:t>
    </w:r>
    <w:r>
      <w:rPr>
        <w:rFonts w:ascii="Calibri" w:cs="Calibri" w:eastAsia="Calibri" w:hAnsi="Calibri"/>
        <w:color w:val="66707F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66707F"/>
        <w:sz w:val="16"/>
        <w:szCs w:val="16"/>
      </w:rPr>
      <w:t xml:space="preserve"> of </w:t>
    </w:r>
    <w:r>
      <w:rPr>
        <w:rFonts w:ascii="Calibri" w:cs="Calibri" w:eastAsia="Calibri" w:hAnsi="Calibri"/>
        <w:color w:val="66707F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04" w:hanging="252"/>
      </w:pPr>
      <w:rPr>
        <w:color w:val="B98A3E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Onboarding SOP</dc:title>
  <dc:creator>CareBridge Financial Management LLC</dc:creator>
  <dc:description>Client Onboarding Standard Operating Procedure, v1.0</dc:description>
  <cp:lastModifiedBy>Un-named</cp:lastModifiedBy>
  <cp:revision>1</cp:revision>
  <dcterms:created xsi:type="dcterms:W3CDTF">2026-09-28T20:05:36.113Z</dcterms:created>
  <dcterms:modified xsi:type="dcterms:W3CDTF">2026-09-28T20:05:36.114Z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