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Calibri" w:cs="Calibri" w:eastAsia="Calibri" w:hAnsi="Calibri"/>
          <w:b/>
          <w:bCs/>
          <w:color w:val="B98A3E"/>
          <w:spacing w:val="60"/>
          <w:sz w:val="19"/>
          <w:szCs w:val="19"/>
        </w:rPr>
        <w:t xml:space="preserve">CAREBRIDGE FINANCIAL MANAGEMENT LLC</w:t>
      </w:r>
    </w:p>
    <w:p>
      <w:pPr>
        <w:spacing w:after="40"/>
      </w:pPr>
      <w:r>
        <w:rPr>
          <w:rFonts w:ascii="Calibri" w:cs="Calibri" w:eastAsia="Calibri" w:hAnsi="Calibri"/>
          <w:b/>
          <w:bCs/>
          <w:color w:val="122B5C"/>
          <w:sz w:val="40"/>
          <w:szCs w:val="40"/>
        </w:rPr>
        <w:t xml:space="preserve">Business Associate Agreement</w:t>
      </w:r>
    </w:p>
    <w:p>
      <w:pPr>
        <w:spacing w:after="120"/>
      </w:pPr>
      <w:r>
        <w:rPr>
          <w:rFonts w:ascii="Calibri" w:cs="Calibri" w:eastAsia="Calibri" w:hAnsi="Calibri"/>
          <w:color w:val="66707F"/>
          <w:sz w:val="21"/>
          <w:szCs w:val="21"/>
        </w:rPr>
        <w:t xml:space="preserve">Between CareBridge Financial Management LLC and Healthcare Provider</w:t>
      </w:r>
    </w:p>
    <w:p>
      <w:pPr>
        <w:pBdr>
          <w:bottom w:val="single" w:color="122B5C" w:sz="12"/>
        </w:pBdr>
        <w:spacing w:after="240"/>
      </w:pPr>
    </w:p>
    <w:tbl>
      <w:tblPr>
        <w:tblW w:type="dxa" w:w="9360"/>
        <w:tblBorders>
          <w:top w:val="none" w:color="FFFFFF" w:sz="0"/>
          <w:left w:val="single" w:color="9B2C2C" w:sz="18"/>
          <w:bottom w:val="none" w:color="FFFFFF" w:sz="0"/>
          <w:right w:val="none" w:color="FFFFFF" w:sz="0"/>
          <w:insideH w:val="none" w:color="FFFFFF" w:sz="0"/>
          <w:insideV w:val="none" w:color="FFFFFF" w:sz="0"/>
        </w:tblBorders>
      </w:tblPr>
      <w:tblGrid>
        <w:gridCol w:w="9360"/>
      </w:tblGrid>
      <w:tr>
        <w:tc>
          <w:tcPr>
            <w:tcW w:type="dxa" w:w="9360"/>
            <w:shd w:fill="FBF0EC" w:color="auto" w:val="clear"/>
            <w:tcMar>
              <w:top w:type="dxa" w:w="170"/>
              <w:left w:type="dxa" w:w="220"/>
              <w:bottom w:type="dxa" w:w="170"/>
              <w:right w:type="dxa" w:w="220"/>
            </w:tcMar>
          </w:tcPr>
          <w:p>
            <w:pPr>
              <w:spacing w:after="110" w:line="264"/>
            </w:pPr>
            <w:r>
              <w:rPr>
                <w:rFonts w:ascii="Calibri" w:cs="Calibri" w:eastAsia="Calibri" w:hAnsi="Calibri"/>
                <w:b/>
                <w:bCs/>
                <w:i w:val="false"/>
                <w:iCs w:val="false"/>
                <w:color w:val="6B2020"/>
                <w:sz w:val="21"/>
                <w:szCs w:val="21"/>
              </w:rPr>
              <w:t xml:space="preserve">INCOMPLETE DRAFT — NOT FOR EXECUTION</w:t>
            </w:r>
          </w:p>
          <w:p>
            <w:pPr>
              <w:spacing w:after="0" w:line="264"/>
            </w:pPr>
            <w:r>
              <w:rPr>
                <w:rFonts w:ascii="Calibri" w:cs="Calibri" w:eastAsia="Calibri" w:hAnsi="Calibri"/>
                <w:b w:val="false"/>
                <w:bCs w:val="false"/>
                <w:i w:val="false"/>
                <w:iCs w:val="false"/>
                <w:color w:val="6B2020"/>
                <w:sz w:val="21"/>
                <w:szCs w:val="21"/>
              </w:rPr>
              <w:t xml:space="preserve">This document reproduces only the text supplied to date, which ends part-way through the bulleted list in Section 6. The sections a HIPAA business associate agreement ordinarily addresses — subcontractors, breach and security-incident reporting, individual access and amendment rights, accounting of disclosures, availability of records to HHS, term and termination, return or destruction of PHI on termination, and signature blocks — are not present. Do not circulate or sign until the remaining terms are added and reviewed by counsel.</w:t>
            </w:r>
          </w:p>
        </w:tc>
      </w:tr>
    </w:tbl>
    <w:p>
      <w:pPr>
        <w:spacing w:after="220"/>
      </w:pPr>
    </w:p>
    <w:p>
      <w:pPr>
        <w:spacing w:after="150" w:line="276"/>
      </w:pPr>
      <w:r>
        <w:rPr>
          <w:rFonts w:ascii="Calibri" w:cs="Calibri" w:eastAsia="Calibri" w:hAnsi="Calibri"/>
          <w:b w:val="false"/>
          <w:bCs w:val="false"/>
          <w:i w:val="false"/>
          <w:iCs w:val="false"/>
          <w:color w:val="2F3947"/>
          <w:sz w:val="21"/>
          <w:szCs w:val="21"/>
        </w:rPr>
        <w:t xml:space="preserve">This Business Associate Agreement (“BAA”) is entered into effective as of [Effective Date], by and between:</w:t>
      </w:r>
    </w:p>
    <w:p>
      <w:pPr>
        <w:spacing w:after="120" w:before="200"/>
      </w:pPr>
      <w:r>
        <w:rPr>
          <w:rFonts w:ascii="Calibri" w:cs="Calibri" w:eastAsia="Calibri" w:hAnsi="Calibri"/>
          <w:b/>
          <w:bCs/>
          <w:color w:val="B98A3E"/>
          <w:spacing w:val="40"/>
          <w:sz w:val="19"/>
          <w:szCs w:val="19"/>
        </w:rPr>
        <w:t xml:space="preserve">COVERED ENTITY / HEALTHCARE PROVIDER</w:t>
      </w:r>
    </w:p>
    <w:tbl>
      <w:tblPr>
        <w:tblW w:type="dxa" w:w="9360"/>
        <w:tblBorders>
          <w:top w:val="single" w:color="DDE3EC" w:sz="4"/>
          <w:left w:val="single" w:color="DDE3EC" w:sz="4"/>
          <w:bottom w:val="single" w:color="DDE3EC" w:sz="4"/>
          <w:right w:val="single" w:color="DDE3EC" w:sz="4"/>
          <w:insideH w:val="single" w:color="DDE3EC" w:sz="4"/>
          <w:insideV w:val="single" w:color="DDE3EC" w:sz="4"/>
        </w:tblBorders>
      </w:tblPr>
      <w:tblGrid>
        <w:gridCol w:w="2400"/>
        <w:gridCol w:w="6960"/>
      </w:tblGrid>
      <w:tr>
        <w:tc>
          <w:tcPr>
            <w:tcW w:type="dxa" w:w="2400"/>
            <w:shd w:fill="FFFFFF" w:color="auto" w:val="clear"/>
            <w:tcMar>
              <w:top w:type="dxa" w:w="90"/>
              <w:left w:type="dxa" w:w="140"/>
              <w:bottom w:type="dxa" w:w="90"/>
              <w:right w:type="dxa" w:w="140"/>
            </w:tcMar>
          </w:tcPr>
          <w:p>
            <w:r>
              <w:rPr>
                <w:rFonts w:ascii="Calibri" w:cs="Calibri" w:eastAsia="Calibri" w:hAnsi="Calibri"/>
                <w:b/>
                <w:bCs/>
                <w:color w:val="2F3947"/>
                <w:sz w:val="21"/>
                <w:szCs w:val="21"/>
              </w:rPr>
              <w:t xml:space="preserve">Legal Name</w:t>
            </w:r>
          </w:p>
        </w:tc>
        <w:tc>
          <w:tcPr>
            <w:tcW w:type="dxa" w:w="6960"/>
            <w:shd w:fill="FFFFFF" w:color="auto" w:val="clear"/>
            <w:tcMar>
              <w:top w:type="dxa" w:w="90"/>
              <w:left w:type="dxa" w:w="140"/>
              <w:bottom w:type="dxa" w:w="90"/>
              <w:right w:type="dxa" w:w="140"/>
            </w:tcMar>
          </w:tcPr>
          <w:p>
            <w:r>
              <w:rPr>
                <w:rFonts w:ascii="Calibri" w:cs="Calibri" w:eastAsia="Calibri" w:hAnsi="Calibri"/>
                <w:b w:val="false"/>
                <w:bCs w:val="false"/>
                <w:color w:val="2F3947"/>
                <w:sz w:val="21"/>
                <w:szCs w:val="21"/>
              </w:rPr>
              <w:t xml:space="preserve">[Provider/Practice Legal Name]</w:t>
            </w:r>
          </w:p>
        </w:tc>
      </w:tr>
      <w:tr>
        <w:tc>
          <w:tcPr>
            <w:tcW w:type="dxa" w:w="2400"/>
            <w:shd w:fill="F5F7FA" w:color="auto" w:val="clear"/>
            <w:tcMar>
              <w:top w:type="dxa" w:w="90"/>
              <w:left w:type="dxa" w:w="140"/>
              <w:bottom w:type="dxa" w:w="90"/>
              <w:right w:type="dxa" w:w="140"/>
            </w:tcMar>
          </w:tcPr>
          <w:p>
            <w:r>
              <w:rPr>
                <w:rFonts w:ascii="Calibri" w:cs="Calibri" w:eastAsia="Calibri" w:hAnsi="Calibri"/>
                <w:b/>
                <w:bCs/>
                <w:color w:val="2F3947"/>
                <w:sz w:val="21"/>
                <w:szCs w:val="21"/>
              </w:rPr>
              <w:t xml:space="preserve">Address</w:t>
            </w:r>
          </w:p>
        </w:tc>
        <w:tc>
          <w:tcPr>
            <w:tcW w:type="dxa" w:w="6960"/>
            <w:shd w:fill="F5F7FA" w:color="auto" w:val="clear"/>
            <w:tcMar>
              <w:top w:type="dxa" w:w="90"/>
              <w:left w:type="dxa" w:w="140"/>
              <w:bottom w:type="dxa" w:w="90"/>
              <w:right w:type="dxa" w:w="140"/>
            </w:tcMar>
          </w:tcPr>
          <w:p>
            <w:r>
              <w:rPr>
                <w:rFonts w:ascii="Calibri" w:cs="Calibri" w:eastAsia="Calibri" w:hAnsi="Calibri"/>
                <w:b w:val="false"/>
                <w:bCs w:val="false"/>
                <w:color w:val="2F3947"/>
                <w:sz w:val="21"/>
                <w:szCs w:val="21"/>
              </w:rPr>
              <w:t xml:space="preserve">[Provider Address]</w:t>
            </w:r>
          </w:p>
        </w:tc>
      </w:tr>
      <w:tr>
        <w:tc>
          <w:tcPr>
            <w:tcW w:type="dxa" w:w="2400"/>
            <w:shd w:fill="FFFFFF" w:color="auto" w:val="clear"/>
            <w:tcMar>
              <w:top w:type="dxa" w:w="90"/>
              <w:left w:type="dxa" w:w="140"/>
              <w:bottom w:type="dxa" w:w="90"/>
              <w:right w:type="dxa" w:w="140"/>
            </w:tcMar>
          </w:tcPr>
          <w:p>
            <w:r>
              <w:rPr>
                <w:rFonts w:ascii="Calibri" w:cs="Calibri" w:eastAsia="Calibri" w:hAnsi="Calibri"/>
                <w:b/>
                <w:bCs/>
                <w:color w:val="2F3947"/>
                <w:sz w:val="21"/>
                <w:szCs w:val="21"/>
              </w:rPr>
              <w:t xml:space="preserve">NPI</w:t>
            </w:r>
          </w:p>
        </w:tc>
        <w:tc>
          <w:tcPr>
            <w:tcW w:type="dxa" w:w="6960"/>
            <w:shd w:fill="FFFFFF" w:color="auto" w:val="clear"/>
            <w:tcMar>
              <w:top w:type="dxa" w:w="90"/>
              <w:left w:type="dxa" w:w="140"/>
              <w:bottom w:type="dxa" w:w="90"/>
              <w:right w:type="dxa" w:w="140"/>
            </w:tcMar>
          </w:tcPr>
          <w:p>
            <w:r>
              <w:rPr>
                <w:rFonts w:ascii="Calibri" w:cs="Calibri" w:eastAsia="Calibri" w:hAnsi="Calibri"/>
                <w:b w:val="false"/>
                <w:bCs w:val="false"/>
                <w:color w:val="2F3947"/>
                <w:sz w:val="21"/>
                <w:szCs w:val="21"/>
              </w:rPr>
              <w:t xml:space="preserve">[NPI, if applicable]</w:t>
            </w:r>
          </w:p>
        </w:tc>
      </w:tr>
    </w:tbl>
    <w:p>
      <w:pPr>
        <w:spacing w:after="140"/>
      </w:pPr>
    </w:p>
    <w:p>
      <w:pPr>
        <w:spacing w:after="150" w:line="276"/>
      </w:pPr>
      <w:r>
        <w:rPr>
          <w:rFonts w:ascii="Calibri" w:cs="Calibri" w:eastAsia="Calibri" w:hAnsi="Calibri"/>
          <w:b w:val="false"/>
          <w:bCs w:val="false"/>
          <w:i w:val="false"/>
          <w:iCs w:val="false"/>
          <w:color w:val="2F3947"/>
          <w:sz w:val="21"/>
          <w:szCs w:val="21"/>
        </w:rPr>
        <w:t xml:space="preserve">hereinafter referred to as “Covered Entity”,</w:t>
      </w:r>
    </w:p>
    <w:p>
      <w:pPr>
        <w:spacing w:after="150" w:line="276"/>
      </w:pPr>
      <w:r>
        <w:rPr>
          <w:rFonts w:ascii="Calibri" w:cs="Calibri" w:eastAsia="Calibri" w:hAnsi="Calibri"/>
          <w:b w:val="false"/>
          <w:bCs w:val="false"/>
          <w:i w:val="false"/>
          <w:iCs w:val="false"/>
          <w:color w:val="2F3947"/>
          <w:sz w:val="21"/>
          <w:szCs w:val="21"/>
        </w:rPr>
        <w:t xml:space="preserve">and</w:t>
      </w:r>
    </w:p>
    <w:p>
      <w:pPr>
        <w:spacing w:after="120" w:before="200"/>
      </w:pPr>
      <w:r>
        <w:rPr>
          <w:rFonts w:ascii="Calibri" w:cs="Calibri" w:eastAsia="Calibri" w:hAnsi="Calibri"/>
          <w:b/>
          <w:bCs/>
          <w:color w:val="B98A3E"/>
          <w:spacing w:val="40"/>
          <w:sz w:val="19"/>
          <w:szCs w:val="19"/>
        </w:rPr>
        <w:t xml:space="preserve">BUSINESS ASSOCIATE</w:t>
      </w:r>
    </w:p>
    <w:tbl>
      <w:tblPr>
        <w:tblW w:type="dxa" w:w="9360"/>
        <w:tblBorders>
          <w:top w:val="single" w:color="DDE3EC" w:sz="4"/>
          <w:left w:val="single" w:color="DDE3EC" w:sz="4"/>
          <w:bottom w:val="single" w:color="DDE3EC" w:sz="4"/>
          <w:right w:val="single" w:color="DDE3EC" w:sz="4"/>
          <w:insideH w:val="single" w:color="DDE3EC" w:sz="4"/>
          <w:insideV w:val="single" w:color="DDE3EC" w:sz="4"/>
        </w:tblBorders>
      </w:tblPr>
      <w:tblGrid>
        <w:gridCol w:w="2400"/>
        <w:gridCol w:w="6960"/>
      </w:tblGrid>
      <w:tr>
        <w:tc>
          <w:tcPr>
            <w:tcW w:type="dxa" w:w="2400"/>
            <w:shd w:fill="FFFFFF" w:color="auto" w:val="clear"/>
            <w:tcMar>
              <w:top w:type="dxa" w:w="90"/>
              <w:left w:type="dxa" w:w="140"/>
              <w:bottom w:type="dxa" w:w="90"/>
              <w:right w:type="dxa" w:w="140"/>
            </w:tcMar>
          </w:tcPr>
          <w:p>
            <w:r>
              <w:rPr>
                <w:rFonts w:ascii="Calibri" w:cs="Calibri" w:eastAsia="Calibri" w:hAnsi="Calibri"/>
                <w:b/>
                <w:bCs/>
                <w:color w:val="2F3947"/>
                <w:sz w:val="21"/>
                <w:szCs w:val="21"/>
              </w:rPr>
              <w:t xml:space="preserve">Legal Name</w:t>
            </w:r>
          </w:p>
        </w:tc>
        <w:tc>
          <w:tcPr>
            <w:tcW w:type="dxa" w:w="6960"/>
            <w:shd w:fill="FFFFFF" w:color="auto" w:val="clear"/>
            <w:tcMar>
              <w:top w:type="dxa" w:w="90"/>
              <w:left w:type="dxa" w:w="140"/>
              <w:bottom w:type="dxa" w:w="90"/>
              <w:right w:type="dxa" w:w="140"/>
            </w:tcMar>
          </w:tcPr>
          <w:p>
            <w:r>
              <w:rPr>
                <w:rFonts w:ascii="Calibri" w:cs="Calibri" w:eastAsia="Calibri" w:hAnsi="Calibri"/>
                <w:b w:val="false"/>
                <w:bCs w:val="false"/>
                <w:color w:val="2F3947"/>
                <w:sz w:val="21"/>
                <w:szCs w:val="21"/>
              </w:rPr>
              <w:t xml:space="preserve">CareBridge Financial Management LLC</w:t>
            </w:r>
          </w:p>
        </w:tc>
      </w:tr>
      <w:tr>
        <w:tc>
          <w:tcPr>
            <w:tcW w:type="dxa" w:w="2400"/>
            <w:shd w:fill="F5F7FA" w:color="auto" w:val="clear"/>
            <w:tcMar>
              <w:top w:type="dxa" w:w="90"/>
              <w:left w:type="dxa" w:w="140"/>
              <w:bottom w:type="dxa" w:w="90"/>
              <w:right w:type="dxa" w:w="140"/>
            </w:tcMar>
          </w:tcPr>
          <w:p>
            <w:r>
              <w:rPr>
                <w:rFonts w:ascii="Calibri" w:cs="Calibri" w:eastAsia="Calibri" w:hAnsi="Calibri"/>
                <w:b/>
                <w:bCs/>
                <w:color w:val="2F3947"/>
                <w:sz w:val="21"/>
                <w:szCs w:val="21"/>
              </w:rPr>
              <w:t xml:space="preserve">Address</w:t>
            </w:r>
          </w:p>
        </w:tc>
        <w:tc>
          <w:tcPr>
            <w:tcW w:type="dxa" w:w="6960"/>
            <w:shd w:fill="F5F7FA" w:color="auto" w:val="clear"/>
            <w:tcMar>
              <w:top w:type="dxa" w:w="90"/>
              <w:left w:type="dxa" w:w="140"/>
              <w:bottom w:type="dxa" w:w="90"/>
              <w:right w:type="dxa" w:w="140"/>
            </w:tcMar>
          </w:tcPr>
          <w:p>
            <w:r>
              <w:rPr>
                <w:rFonts w:ascii="Calibri" w:cs="Calibri" w:eastAsia="Calibri" w:hAnsi="Calibri"/>
                <w:b w:val="false"/>
                <w:bCs w:val="false"/>
                <w:color w:val="2F3947"/>
                <w:sz w:val="21"/>
                <w:szCs w:val="21"/>
              </w:rPr>
              <w:t xml:space="preserve">[CareBridge Business Address]</w:t>
            </w:r>
          </w:p>
        </w:tc>
      </w:tr>
    </w:tbl>
    <w:p>
      <w:pPr>
        <w:spacing w:after="140"/>
      </w:pPr>
    </w:p>
    <w:p>
      <w:pPr>
        <w:spacing w:after="150" w:line="276"/>
      </w:pPr>
      <w:r>
        <w:rPr>
          <w:rFonts w:ascii="Calibri" w:cs="Calibri" w:eastAsia="Calibri" w:hAnsi="Calibri"/>
          <w:b w:val="false"/>
          <w:bCs w:val="false"/>
          <w:i w:val="false"/>
          <w:iCs w:val="false"/>
          <w:color w:val="2F3947"/>
          <w:sz w:val="21"/>
          <w:szCs w:val="21"/>
        </w:rPr>
        <w:t xml:space="preserve">hereinafter referred to as “Business Associate.”</w:t>
      </w:r>
    </w:p>
    <w:p>
      <w:pPr>
        <w:spacing w:after="0" w:line="276"/>
      </w:pPr>
      <w:r>
        <w:rPr>
          <w:rFonts w:ascii="Calibri" w:cs="Calibri" w:eastAsia="Calibri" w:hAnsi="Calibri"/>
          <w:b w:val="false"/>
          <w:bCs w:val="false"/>
          <w:i w:val="false"/>
          <w:iCs w:val="false"/>
          <w:color w:val="2F3947"/>
          <w:sz w:val="21"/>
          <w:szCs w:val="21"/>
        </w:rPr>
        <w:t xml:space="preserve">Covered Entity and Business Associate may individually be referred to as a “Party” and collectively as the “Parties.”</w:t>
      </w:r>
    </w:p>
    <w:p>
      <w:pPr>
        <w:pStyle w:val="Heading1"/>
        <w:spacing w:after="160" w:before="380"/>
      </w:pPr>
      <w:r>
        <w:rPr>
          <w:rFonts w:ascii="Calibri" w:cs="Calibri" w:eastAsia="Calibri" w:hAnsi="Calibri"/>
          <w:b/>
          <w:bCs/>
          <w:color w:val="B98A3E"/>
          <w:sz w:val="24"/>
          <w:szCs w:val="24"/>
        </w:rPr>
        <w:t xml:space="preserve">1.  </w:t>
      </w:r>
      <w:r>
        <w:rPr>
          <w:rFonts w:ascii="Calibri" w:cs="Calibri" w:eastAsia="Calibri" w:hAnsi="Calibri"/>
          <w:b/>
          <w:bCs/>
          <w:color w:val="122B5C"/>
          <w:spacing w:val="12"/>
          <w:sz w:val="24"/>
          <w:szCs w:val="24"/>
        </w:rPr>
        <w:t xml:space="preserve">PURPOSE</w:t>
      </w:r>
    </w:p>
    <w:p>
      <w:pPr>
        <w:spacing w:after="150" w:line="276"/>
      </w:pPr>
      <w:r>
        <w:rPr>
          <w:rFonts w:ascii="Calibri" w:cs="Calibri" w:eastAsia="Calibri" w:hAnsi="Calibri"/>
          <w:b w:val="false"/>
          <w:bCs w:val="false"/>
          <w:i w:val="false"/>
          <w:iCs w:val="false"/>
          <w:color w:val="2F3947"/>
          <w:sz w:val="21"/>
          <w:szCs w:val="21"/>
        </w:rPr>
        <w:t xml:space="preserve">Covered Entity has engaged Business Associate to provide revenue cycle management (“RCM”), medical billing, administrative, and related services.</w:t>
      </w:r>
    </w:p>
    <w:p>
      <w:pPr>
        <w:spacing w:after="150" w:line="276"/>
      </w:pPr>
      <w:r>
        <w:rPr>
          <w:rFonts w:ascii="Calibri" w:cs="Calibri" w:eastAsia="Calibri" w:hAnsi="Calibri"/>
          <w:b w:val="false"/>
          <w:bCs w:val="false"/>
          <w:i w:val="false"/>
          <w:iCs w:val="false"/>
          <w:color w:val="2F3947"/>
          <w:sz w:val="21"/>
          <w:szCs w:val="21"/>
        </w:rPr>
        <w:t xml:space="preserve">In performing these services, Business Associate may create, receive, maintain, or transmit Protected Health Information (“PHI”) on behalf of Covered Entity.</w:t>
      </w:r>
    </w:p>
    <w:p>
      <w:pPr>
        <w:spacing w:after="0" w:line="276"/>
      </w:pPr>
      <w:r>
        <w:rPr>
          <w:rFonts w:ascii="Calibri" w:cs="Calibri" w:eastAsia="Calibri" w:hAnsi="Calibri"/>
          <w:b w:val="false"/>
          <w:bCs w:val="false"/>
          <w:i w:val="false"/>
          <w:iCs w:val="false"/>
          <w:color w:val="2F3947"/>
          <w:sz w:val="21"/>
          <w:szCs w:val="21"/>
        </w:rPr>
        <w:t xml:space="preserve">This BAA establishes the permitted and required uses and disclosures of PHI and is intended to satisfy the applicable requirements of the Health Insurance Portability and Accountability Act of 1996 (“HIPAA”) and its implementing regulations, including the HIPAA Privacy, Security, Breach Notification, and Enforcement Rules, as applicable.</w:t>
      </w:r>
    </w:p>
    <w:p>
      <w:pPr>
        <w:pStyle w:val="Heading1"/>
        <w:spacing w:after="160" w:before="380"/>
      </w:pPr>
      <w:r>
        <w:rPr>
          <w:rFonts w:ascii="Calibri" w:cs="Calibri" w:eastAsia="Calibri" w:hAnsi="Calibri"/>
          <w:b/>
          <w:bCs/>
          <w:color w:val="B98A3E"/>
          <w:sz w:val="24"/>
          <w:szCs w:val="24"/>
        </w:rPr>
        <w:t xml:space="preserve">2.  </w:t>
      </w:r>
      <w:r>
        <w:rPr>
          <w:rFonts w:ascii="Calibri" w:cs="Calibri" w:eastAsia="Calibri" w:hAnsi="Calibri"/>
          <w:b/>
          <w:bCs/>
          <w:color w:val="122B5C"/>
          <w:spacing w:val="12"/>
          <w:sz w:val="24"/>
          <w:szCs w:val="24"/>
        </w:rPr>
        <w:t xml:space="preserve">DEFINITIONS</w:t>
      </w:r>
    </w:p>
    <w:p>
      <w:pPr>
        <w:spacing w:after="150" w:line="276"/>
      </w:pPr>
      <w:r>
        <w:rPr>
          <w:rFonts w:ascii="Calibri" w:cs="Calibri" w:eastAsia="Calibri" w:hAnsi="Calibri"/>
          <w:b w:val="false"/>
          <w:bCs w:val="false"/>
          <w:i w:val="false"/>
          <w:iCs w:val="false"/>
          <w:color w:val="2F3947"/>
          <w:sz w:val="21"/>
          <w:szCs w:val="21"/>
        </w:rPr>
        <w:t xml:space="preserve">Capitalized terms not otherwise defined in this BAA shall have the meanings assigned to them under HIPAA and applicable regulations.</w:t>
      </w:r>
    </w:p>
    <w:p>
      <w:pPr>
        <w:spacing w:after="130" w:line="276"/>
      </w:pPr>
      <w:r>
        <w:rPr>
          <w:rFonts w:ascii="Calibri" w:cs="Calibri" w:eastAsia="Calibri" w:hAnsi="Calibri"/>
          <w:b/>
          <w:bCs/>
          <w:color w:val="2F3947"/>
          <w:sz w:val="21"/>
          <w:szCs w:val="21"/>
        </w:rPr>
        <w:t xml:space="preserve">“Protected Health Information”</w:t>
      </w:r>
      <w:r>
        <w:rPr>
          <w:rFonts w:ascii="Calibri" w:cs="Calibri" w:eastAsia="Calibri" w:hAnsi="Calibri"/>
          <w:b w:val="false"/>
          <w:bCs w:val="false"/>
          <w:color w:val="2F3947"/>
          <w:sz w:val="21"/>
          <w:szCs w:val="21"/>
        </w:rPr>
        <w:t xml:space="preserve"> or </w:t>
      </w:r>
      <w:r>
        <w:rPr>
          <w:rFonts w:ascii="Calibri" w:cs="Calibri" w:eastAsia="Calibri" w:hAnsi="Calibri"/>
          <w:b/>
          <w:bCs/>
          <w:color w:val="2F3947"/>
          <w:sz w:val="21"/>
          <w:szCs w:val="21"/>
        </w:rPr>
        <w:t xml:space="preserve">“PHI”</w:t>
      </w:r>
      <w:r>
        <w:rPr>
          <w:rFonts w:ascii="Calibri" w:cs="Calibri" w:eastAsia="Calibri" w:hAnsi="Calibri"/>
          <w:b w:val="false"/>
          <w:bCs w:val="false"/>
          <w:color w:val="2F3947"/>
          <w:sz w:val="21"/>
          <w:szCs w:val="21"/>
        </w:rPr>
        <w:t xml:space="preserve"> means protected health information as defined by HIPAA.</w:t>
      </w:r>
    </w:p>
    <w:p>
      <w:pPr>
        <w:spacing w:after="130" w:line="276"/>
      </w:pPr>
      <w:r>
        <w:rPr>
          <w:rFonts w:ascii="Calibri" w:cs="Calibri" w:eastAsia="Calibri" w:hAnsi="Calibri"/>
          <w:b/>
          <w:bCs/>
          <w:color w:val="2F3947"/>
          <w:sz w:val="21"/>
          <w:szCs w:val="21"/>
        </w:rPr>
        <w:t xml:space="preserve">“Electronic Protected Health Information”</w:t>
      </w:r>
      <w:r>
        <w:rPr>
          <w:rFonts w:ascii="Calibri" w:cs="Calibri" w:eastAsia="Calibri" w:hAnsi="Calibri"/>
          <w:b w:val="false"/>
          <w:bCs w:val="false"/>
          <w:color w:val="2F3947"/>
          <w:sz w:val="21"/>
          <w:szCs w:val="21"/>
        </w:rPr>
        <w:t xml:space="preserve"> or </w:t>
      </w:r>
      <w:r>
        <w:rPr>
          <w:rFonts w:ascii="Calibri" w:cs="Calibri" w:eastAsia="Calibri" w:hAnsi="Calibri"/>
          <w:b/>
          <w:bCs/>
          <w:color w:val="2F3947"/>
          <w:sz w:val="21"/>
          <w:szCs w:val="21"/>
        </w:rPr>
        <w:t xml:space="preserve">“ePHI”</w:t>
      </w:r>
      <w:r>
        <w:rPr>
          <w:rFonts w:ascii="Calibri" w:cs="Calibri" w:eastAsia="Calibri" w:hAnsi="Calibri"/>
          <w:b w:val="false"/>
          <w:bCs w:val="false"/>
          <w:color w:val="2F3947"/>
          <w:sz w:val="21"/>
          <w:szCs w:val="21"/>
        </w:rPr>
        <w:t xml:space="preserve"> means PHI maintained or transmitted in electronic form.</w:t>
      </w:r>
    </w:p>
    <w:p>
      <w:pPr>
        <w:spacing w:after="130" w:line="276"/>
      </w:pPr>
      <w:r>
        <w:rPr>
          <w:rFonts w:ascii="Calibri" w:cs="Calibri" w:eastAsia="Calibri" w:hAnsi="Calibri"/>
          <w:b/>
          <w:bCs/>
          <w:color w:val="2F3947"/>
          <w:sz w:val="21"/>
          <w:szCs w:val="21"/>
        </w:rPr>
        <w:t xml:space="preserve">“Business Associate”</w:t>
      </w:r>
      <w:r>
        <w:rPr>
          <w:rFonts w:ascii="Calibri" w:cs="Calibri" w:eastAsia="Calibri" w:hAnsi="Calibri"/>
          <w:b w:val="false"/>
          <w:bCs w:val="false"/>
          <w:color w:val="2F3947"/>
          <w:sz w:val="21"/>
          <w:szCs w:val="21"/>
        </w:rPr>
        <w:t xml:space="preserve"> has the meaning assigned under HIPAA.</w:t>
      </w:r>
    </w:p>
    <w:p>
      <w:pPr>
        <w:spacing w:after="130" w:line="276"/>
      </w:pPr>
      <w:r>
        <w:rPr>
          <w:rFonts w:ascii="Calibri" w:cs="Calibri" w:eastAsia="Calibri" w:hAnsi="Calibri"/>
          <w:b/>
          <w:bCs/>
          <w:color w:val="2F3947"/>
          <w:sz w:val="21"/>
          <w:szCs w:val="21"/>
        </w:rPr>
        <w:t xml:space="preserve">“Covered Entity”</w:t>
      </w:r>
      <w:r>
        <w:rPr>
          <w:rFonts w:ascii="Calibri" w:cs="Calibri" w:eastAsia="Calibri" w:hAnsi="Calibri"/>
          <w:b w:val="false"/>
          <w:bCs w:val="false"/>
          <w:color w:val="2F3947"/>
          <w:sz w:val="21"/>
          <w:szCs w:val="21"/>
        </w:rPr>
        <w:t xml:space="preserve"> has the meaning assigned under HIPAA.</w:t>
      </w:r>
    </w:p>
    <w:p>
      <w:pPr>
        <w:pStyle w:val="Heading1"/>
        <w:spacing w:after="160" w:before="380"/>
      </w:pPr>
      <w:r>
        <w:rPr>
          <w:rFonts w:ascii="Calibri" w:cs="Calibri" w:eastAsia="Calibri" w:hAnsi="Calibri"/>
          <w:b/>
          <w:bCs/>
          <w:color w:val="B98A3E"/>
          <w:sz w:val="24"/>
          <w:szCs w:val="24"/>
        </w:rPr>
        <w:t xml:space="preserve">3.  </w:t>
      </w:r>
      <w:r>
        <w:rPr>
          <w:rFonts w:ascii="Calibri" w:cs="Calibri" w:eastAsia="Calibri" w:hAnsi="Calibri"/>
          <w:b/>
          <w:bCs/>
          <w:color w:val="122B5C"/>
          <w:spacing w:val="12"/>
          <w:sz w:val="24"/>
          <w:szCs w:val="24"/>
        </w:rPr>
        <w:t xml:space="preserve">PERMITTED USES AND DISCLOSURES OF PHI</w:t>
      </w:r>
    </w:p>
    <w:p>
      <w:pPr>
        <w:spacing w:after="150" w:line="276"/>
      </w:pPr>
      <w:r>
        <w:rPr>
          <w:rFonts w:ascii="Calibri" w:cs="Calibri" w:eastAsia="Calibri" w:hAnsi="Calibri"/>
          <w:b w:val="false"/>
          <w:bCs w:val="false"/>
          <w:i w:val="false"/>
          <w:iCs w:val="false"/>
          <w:color w:val="2F3947"/>
          <w:sz w:val="21"/>
          <w:szCs w:val="21"/>
        </w:rPr>
        <w:t xml:space="preserve">Business Associate may use and disclose PHI only as necessary to perform the services authorized by Covered Entity and permitted by the applicable RCM Services Agreement.</w:t>
      </w:r>
    </w:p>
    <w:p>
      <w:pPr>
        <w:spacing w:after="120" w:line="276"/>
      </w:pPr>
      <w:r>
        <w:rPr>
          <w:rFonts w:ascii="Calibri" w:cs="Calibri" w:eastAsia="Calibri" w:hAnsi="Calibri"/>
          <w:b/>
          <w:bCs/>
          <w:i w:val="false"/>
          <w:iCs w:val="false"/>
          <w:color w:val="2F3947"/>
          <w:sz w:val="21"/>
          <w:szCs w:val="21"/>
        </w:rPr>
        <w:t xml:space="preserve">Permitted services may include:</w:t>
      </w:r>
    </w:p>
    <w:p>
      <w:pPr>
        <w:pStyle w:val="ListParagraph"/>
        <w:numPr>
          <w:ilvl w:val="0"/>
          <w:numId w:val="2"/>
        </w:numPr>
        <w:spacing w:after="40" w:line="264"/>
      </w:pPr>
      <w:r>
        <w:rPr>
          <w:rFonts w:ascii="Calibri" w:cs="Calibri" w:eastAsia="Calibri" w:hAnsi="Calibri"/>
          <w:color w:val="2F3947"/>
          <w:sz w:val="21"/>
          <w:szCs w:val="21"/>
        </w:rPr>
        <w:t xml:space="preserve">Patient eligibility and benefits verification;</w:t>
      </w:r>
    </w:p>
    <w:p>
      <w:pPr>
        <w:pStyle w:val="ListParagraph"/>
        <w:numPr>
          <w:ilvl w:val="0"/>
          <w:numId w:val="2"/>
        </w:numPr>
        <w:spacing w:after="40" w:line="264"/>
      </w:pPr>
      <w:r>
        <w:rPr>
          <w:rFonts w:ascii="Calibri" w:cs="Calibri" w:eastAsia="Calibri" w:hAnsi="Calibri"/>
          <w:color w:val="2F3947"/>
          <w:sz w:val="21"/>
          <w:szCs w:val="21"/>
        </w:rPr>
        <w:t xml:space="preserve">Insurance verification;</w:t>
      </w:r>
    </w:p>
    <w:p>
      <w:pPr>
        <w:pStyle w:val="ListParagraph"/>
        <w:numPr>
          <w:ilvl w:val="0"/>
          <w:numId w:val="2"/>
        </w:numPr>
        <w:spacing w:after="40" w:line="264"/>
      </w:pPr>
      <w:r>
        <w:rPr>
          <w:rFonts w:ascii="Calibri" w:cs="Calibri" w:eastAsia="Calibri" w:hAnsi="Calibri"/>
          <w:color w:val="2F3947"/>
          <w:sz w:val="21"/>
          <w:szCs w:val="21"/>
        </w:rPr>
        <w:t xml:space="preserve">Prior authorization support;</w:t>
      </w:r>
    </w:p>
    <w:p>
      <w:pPr>
        <w:pStyle w:val="ListParagraph"/>
        <w:numPr>
          <w:ilvl w:val="0"/>
          <w:numId w:val="2"/>
        </w:numPr>
        <w:spacing w:after="40" w:line="264"/>
      </w:pPr>
      <w:r>
        <w:rPr>
          <w:rFonts w:ascii="Calibri" w:cs="Calibri" w:eastAsia="Calibri" w:hAnsi="Calibri"/>
          <w:color w:val="2F3947"/>
          <w:sz w:val="21"/>
          <w:szCs w:val="21"/>
        </w:rPr>
        <w:t xml:space="preserve">Referral verification;</w:t>
      </w:r>
    </w:p>
    <w:p>
      <w:pPr>
        <w:pStyle w:val="ListParagraph"/>
        <w:numPr>
          <w:ilvl w:val="0"/>
          <w:numId w:val="2"/>
        </w:numPr>
        <w:spacing w:after="40" w:line="264"/>
      </w:pPr>
      <w:r>
        <w:rPr>
          <w:rFonts w:ascii="Calibri" w:cs="Calibri" w:eastAsia="Calibri" w:hAnsi="Calibri"/>
          <w:color w:val="2F3947"/>
          <w:sz w:val="21"/>
          <w:szCs w:val="21"/>
        </w:rPr>
        <w:t xml:space="preserve">Charge entry;</w:t>
      </w:r>
    </w:p>
    <w:p>
      <w:pPr>
        <w:pStyle w:val="ListParagraph"/>
        <w:numPr>
          <w:ilvl w:val="0"/>
          <w:numId w:val="2"/>
        </w:numPr>
        <w:spacing w:after="40" w:line="264"/>
      </w:pPr>
      <w:r>
        <w:rPr>
          <w:rFonts w:ascii="Calibri" w:cs="Calibri" w:eastAsia="Calibri" w:hAnsi="Calibri"/>
          <w:color w:val="2F3947"/>
          <w:sz w:val="21"/>
          <w:szCs w:val="21"/>
        </w:rPr>
        <w:t xml:space="preserve">Medical billing;</w:t>
      </w:r>
    </w:p>
    <w:p>
      <w:pPr>
        <w:pStyle w:val="ListParagraph"/>
        <w:numPr>
          <w:ilvl w:val="0"/>
          <w:numId w:val="2"/>
        </w:numPr>
        <w:spacing w:after="40" w:line="264"/>
      </w:pPr>
      <w:r>
        <w:rPr>
          <w:rFonts w:ascii="Calibri" w:cs="Calibri" w:eastAsia="Calibri" w:hAnsi="Calibri"/>
          <w:color w:val="2F3947"/>
          <w:sz w:val="21"/>
          <w:szCs w:val="21"/>
        </w:rPr>
        <w:t xml:space="preserve">Coding support;</w:t>
      </w:r>
    </w:p>
    <w:p>
      <w:pPr>
        <w:pStyle w:val="ListParagraph"/>
        <w:numPr>
          <w:ilvl w:val="0"/>
          <w:numId w:val="2"/>
        </w:numPr>
        <w:spacing w:after="40" w:line="264"/>
      </w:pPr>
      <w:r>
        <w:rPr>
          <w:rFonts w:ascii="Calibri" w:cs="Calibri" w:eastAsia="Calibri" w:hAnsi="Calibri"/>
          <w:color w:val="2F3947"/>
          <w:sz w:val="21"/>
          <w:szCs w:val="21"/>
        </w:rPr>
        <w:t xml:space="preserve">Claims preparation and submission;</w:t>
      </w:r>
    </w:p>
    <w:p>
      <w:pPr>
        <w:pStyle w:val="ListParagraph"/>
        <w:numPr>
          <w:ilvl w:val="0"/>
          <w:numId w:val="2"/>
        </w:numPr>
        <w:spacing w:after="40" w:line="264"/>
      </w:pPr>
      <w:r>
        <w:rPr>
          <w:rFonts w:ascii="Calibri" w:cs="Calibri" w:eastAsia="Calibri" w:hAnsi="Calibri"/>
          <w:color w:val="2F3947"/>
          <w:sz w:val="21"/>
          <w:szCs w:val="21"/>
        </w:rPr>
        <w:t xml:space="preserve">Claim-status follow-up;</w:t>
      </w:r>
    </w:p>
    <w:p>
      <w:pPr>
        <w:pStyle w:val="ListParagraph"/>
        <w:numPr>
          <w:ilvl w:val="0"/>
          <w:numId w:val="2"/>
        </w:numPr>
        <w:spacing w:after="40" w:line="264"/>
      </w:pPr>
      <w:r>
        <w:rPr>
          <w:rFonts w:ascii="Calibri" w:cs="Calibri" w:eastAsia="Calibri" w:hAnsi="Calibri"/>
          <w:color w:val="2F3947"/>
          <w:sz w:val="21"/>
          <w:szCs w:val="21"/>
        </w:rPr>
        <w:t xml:space="preserve">Payment posting;</w:t>
      </w:r>
    </w:p>
    <w:p>
      <w:pPr>
        <w:pStyle w:val="ListParagraph"/>
        <w:numPr>
          <w:ilvl w:val="0"/>
          <w:numId w:val="2"/>
        </w:numPr>
        <w:spacing w:after="40" w:line="264"/>
      </w:pPr>
      <w:r>
        <w:rPr>
          <w:rFonts w:ascii="Calibri" w:cs="Calibri" w:eastAsia="Calibri" w:hAnsi="Calibri"/>
          <w:color w:val="2F3947"/>
          <w:sz w:val="21"/>
          <w:szCs w:val="21"/>
        </w:rPr>
        <w:t xml:space="preserve">Denial management;</w:t>
      </w:r>
    </w:p>
    <w:p>
      <w:pPr>
        <w:pStyle w:val="ListParagraph"/>
        <w:numPr>
          <w:ilvl w:val="0"/>
          <w:numId w:val="2"/>
        </w:numPr>
        <w:spacing w:after="40" w:line="264"/>
      </w:pPr>
      <w:r>
        <w:rPr>
          <w:rFonts w:ascii="Calibri" w:cs="Calibri" w:eastAsia="Calibri" w:hAnsi="Calibri"/>
          <w:color w:val="2F3947"/>
          <w:sz w:val="21"/>
          <w:szCs w:val="21"/>
        </w:rPr>
        <w:t xml:space="preserve">Accounts receivable follow-up;</w:t>
      </w:r>
    </w:p>
    <w:p>
      <w:pPr>
        <w:pStyle w:val="ListParagraph"/>
        <w:numPr>
          <w:ilvl w:val="0"/>
          <w:numId w:val="2"/>
        </w:numPr>
        <w:spacing w:after="40" w:line="264"/>
      </w:pPr>
      <w:r>
        <w:rPr>
          <w:rFonts w:ascii="Calibri" w:cs="Calibri" w:eastAsia="Calibri" w:hAnsi="Calibri"/>
          <w:color w:val="2F3947"/>
          <w:sz w:val="21"/>
          <w:szCs w:val="21"/>
        </w:rPr>
        <w:t xml:space="preserve">Patient billing support;</w:t>
      </w:r>
    </w:p>
    <w:p>
      <w:pPr>
        <w:pStyle w:val="ListParagraph"/>
        <w:numPr>
          <w:ilvl w:val="0"/>
          <w:numId w:val="2"/>
        </w:numPr>
        <w:spacing w:after="40" w:line="264"/>
      </w:pPr>
      <w:r>
        <w:rPr>
          <w:rFonts w:ascii="Calibri" w:cs="Calibri" w:eastAsia="Calibri" w:hAnsi="Calibri"/>
          <w:color w:val="2F3947"/>
          <w:sz w:val="21"/>
          <w:szCs w:val="21"/>
        </w:rPr>
        <w:t xml:space="preserve">Credentialing and enrollment support;</w:t>
      </w:r>
    </w:p>
    <w:p>
      <w:pPr>
        <w:pStyle w:val="ListParagraph"/>
        <w:numPr>
          <w:ilvl w:val="0"/>
          <w:numId w:val="2"/>
        </w:numPr>
        <w:spacing w:after="40" w:line="264"/>
      </w:pPr>
      <w:r>
        <w:rPr>
          <w:rFonts w:ascii="Calibri" w:cs="Calibri" w:eastAsia="Calibri" w:hAnsi="Calibri"/>
          <w:color w:val="2F3947"/>
          <w:sz w:val="21"/>
          <w:szCs w:val="21"/>
        </w:rPr>
        <w:t xml:space="preserve">Revenue-cycle reporting;</w:t>
      </w:r>
    </w:p>
    <w:p>
      <w:pPr>
        <w:pStyle w:val="ListParagraph"/>
        <w:numPr>
          <w:ilvl w:val="0"/>
          <w:numId w:val="2"/>
        </w:numPr>
        <w:spacing w:after="40" w:line="264"/>
      </w:pPr>
      <w:r>
        <w:rPr>
          <w:rFonts w:ascii="Calibri" w:cs="Calibri" w:eastAsia="Calibri" w:hAnsi="Calibri"/>
          <w:color w:val="2F3947"/>
          <w:sz w:val="21"/>
          <w:szCs w:val="21"/>
        </w:rPr>
        <w:t xml:space="preserve">Payer correspondence;</w:t>
      </w:r>
    </w:p>
    <w:p>
      <w:pPr>
        <w:pStyle w:val="ListParagraph"/>
        <w:numPr>
          <w:ilvl w:val="0"/>
          <w:numId w:val="2"/>
        </w:numPr>
        <w:spacing w:after="40" w:line="264"/>
      </w:pPr>
      <w:r>
        <w:rPr>
          <w:rFonts w:ascii="Calibri" w:cs="Calibri" w:eastAsia="Calibri" w:hAnsi="Calibri"/>
          <w:color w:val="2F3947"/>
          <w:sz w:val="21"/>
          <w:szCs w:val="21"/>
        </w:rPr>
        <w:t xml:space="preserve">Other administrative services authorized in writing by Covered Entity.</w:t>
      </w:r>
    </w:p>
    <w:p>
      <w:pPr>
        <w:spacing w:after="120"/>
      </w:pPr>
    </w:p>
    <w:p>
      <w:pPr>
        <w:spacing w:after="0" w:line="276"/>
      </w:pPr>
      <w:r>
        <w:rPr>
          <w:rFonts w:ascii="Calibri" w:cs="Calibri" w:eastAsia="Calibri" w:hAnsi="Calibri"/>
          <w:b w:val="false"/>
          <w:bCs w:val="false"/>
          <w:i w:val="false"/>
          <w:iCs w:val="false"/>
          <w:color w:val="2F3947"/>
          <w:sz w:val="21"/>
          <w:szCs w:val="21"/>
        </w:rPr>
        <w:t xml:space="preserve">Business Associate may use PHI for its proper management and administration and to carry out its legal responsibilities only as permitted by HIPAA.</w:t>
      </w:r>
    </w:p>
    <w:p>
      <w:pPr>
        <w:pStyle w:val="Heading1"/>
        <w:spacing w:after="160" w:before="380"/>
      </w:pPr>
      <w:r>
        <w:rPr>
          <w:rFonts w:ascii="Calibri" w:cs="Calibri" w:eastAsia="Calibri" w:hAnsi="Calibri"/>
          <w:b/>
          <w:bCs/>
          <w:color w:val="B98A3E"/>
          <w:sz w:val="24"/>
          <w:szCs w:val="24"/>
        </w:rPr>
        <w:t xml:space="preserve">4.  </w:t>
      </w:r>
      <w:r>
        <w:rPr>
          <w:rFonts w:ascii="Calibri" w:cs="Calibri" w:eastAsia="Calibri" w:hAnsi="Calibri"/>
          <w:b/>
          <w:bCs/>
          <w:color w:val="122B5C"/>
          <w:spacing w:val="12"/>
          <w:sz w:val="24"/>
          <w:szCs w:val="24"/>
        </w:rPr>
        <w:t xml:space="preserve">PROHIBITED USES AND DISCLOSURES</w:t>
      </w:r>
    </w:p>
    <w:p>
      <w:pPr>
        <w:spacing w:after="120" w:line="276"/>
      </w:pPr>
      <w:r>
        <w:rPr>
          <w:rFonts w:ascii="Calibri" w:cs="Calibri" w:eastAsia="Calibri" w:hAnsi="Calibri"/>
          <w:b w:val="false"/>
          <w:bCs w:val="false"/>
          <w:i w:val="false"/>
          <w:iCs w:val="false"/>
          <w:color w:val="2F3947"/>
          <w:sz w:val="21"/>
          <w:szCs w:val="21"/>
        </w:rPr>
        <w:t xml:space="preserve">Business Associate shall not use or disclose PHI except as permitted by:</w:t>
      </w:r>
    </w:p>
    <w:p>
      <w:pPr>
        <w:pStyle w:val="ListParagraph"/>
        <w:numPr>
          <w:ilvl w:val="0"/>
          <w:numId w:val="3"/>
        </w:numPr>
        <w:spacing w:after="40" w:line="264"/>
      </w:pPr>
      <w:r>
        <w:rPr>
          <w:rFonts w:ascii="Calibri" w:cs="Calibri" w:eastAsia="Calibri" w:hAnsi="Calibri"/>
          <w:color w:val="2F3947"/>
          <w:sz w:val="21"/>
          <w:szCs w:val="21"/>
        </w:rPr>
        <w:t xml:space="preserve">This BAA;</w:t>
      </w:r>
    </w:p>
    <w:p>
      <w:pPr>
        <w:pStyle w:val="ListParagraph"/>
        <w:numPr>
          <w:ilvl w:val="0"/>
          <w:numId w:val="3"/>
        </w:numPr>
        <w:spacing w:after="40" w:line="264"/>
      </w:pPr>
      <w:r>
        <w:rPr>
          <w:rFonts w:ascii="Calibri" w:cs="Calibri" w:eastAsia="Calibri" w:hAnsi="Calibri"/>
          <w:color w:val="2F3947"/>
          <w:sz w:val="21"/>
          <w:szCs w:val="21"/>
        </w:rPr>
        <w:t xml:space="preserve">The underlying services agreement;</w:t>
      </w:r>
    </w:p>
    <w:p>
      <w:pPr>
        <w:pStyle w:val="ListParagraph"/>
        <w:numPr>
          <w:ilvl w:val="0"/>
          <w:numId w:val="3"/>
        </w:numPr>
        <w:spacing w:after="40" w:line="264"/>
      </w:pPr>
      <w:r>
        <w:rPr>
          <w:rFonts w:ascii="Calibri" w:cs="Calibri" w:eastAsia="Calibri" w:hAnsi="Calibri"/>
          <w:color w:val="2F3947"/>
          <w:sz w:val="21"/>
          <w:szCs w:val="21"/>
        </w:rPr>
        <w:t xml:space="preserve">HIPAA; or</w:t>
      </w:r>
    </w:p>
    <w:p>
      <w:pPr>
        <w:pStyle w:val="ListParagraph"/>
        <w:numPr>
          <w:ilvl w:val="0"/>
          <w:numId w:val="3"/>
        </w:numPr>
        <w:spacing w:after="40" w:line="264"/>
      </w:pPr>
      <w:r>
        <w:rPr>
          <w:rFonts w:ascii="Calibri" w:cs="Calibri" w:eastAsia="Calibri" w:hAnsi="Calibri"/>
          <w:color w:val="2F3947"/>
          <w:sz w:val="21"/>
          <w:szCs w:val="21"/>
        </w:rPr>
        <w:t xml:space="preserve">Other applicable law.</w:t>
      </w:r>
    </w:p>
    <w:p>
      <w:pPr>
        <w:spacing w:after="120"/>
      </w:pPr>
    </w:p>
    <w:p>
      <w:pPr>
        <w:spacing w:after="150" w:line="276"/>
      </w:pPr>
      <w:r>
        <w:rPr>
          <w:rFonts w:ascii="Calibri" w:cs="Calibri" w:eastAsia="Calibri" w:hAnsi="Calibri"/>
          <w:b w:val="false"/>
          <w:bCs w:val="false"/>
          <w:i w:val="false"/>
          <w:iCs w:val="false"/>
          <w:color w:val="2F3947"/>
          <w:sz w:val="21"/>
          <w:szCs w:val="21"/>
        </w:rPr>
        <w:t xml:space="preserve">Business Associate shall not use or disclose PHI in a manner that would violate HIPAA if the same activity were performed by Covered Entity.</w:t>
      </w:r>
    </w:p>
    <w:p>
      <w:pPr>
        <w:spacing w:after="150" w:line="276"/>
      </w:pPr>
      <w:r>
        <w:rPr>
          <w:rFonts w:ascii="Calibri" w:cs="Calibri" w:eastAsia="Calibri" w:hAnsi="Calibri"/>
          <w:b w:val="false"/>
          <w:bCs w:val="false"/>
          <w:i w:val="false"/>
          <w:iCs w:val="false"/>
          <w:color w:val="2F3947"/>
          <w:sz w:val="21"/>
          <w:szCs w:val="21"/>
        </w:rPr>
        <w:t xml:space="preserve">Business Associate shall not sell PHI or use PHI for prohibited marketing purposes.</w:t>
      </w:r>
    </w:p>
    <w:p>
      <w:pPr>
        <w:spacing w:after="0" w:line="276"/>
      </w:pPr>
      <w:r>
        <w:rPr>
          <w:rFonts w:ascii="Calibri" w:cs="Calibri" w:eastAsia="Calibri" w:hAnsi="Calibri"/>
          <w:b w:val="false"/>
          <w:bCs w:val="false"/>
          <w:i w:val="false"/>
          <w:iCs w:val="false"/>
          <w:color w:val="2F3947"/>
          <w:sz w:val="21"/>
          <w:szCs w:val="21"/>
        </w:rPr>
        <w:t xml:space="preserve">Business Associate shall not use PHI for any independent commercial purpose unrelated to the services provided to Covered Entity.</w:t>
      </w:r>
    </w:p>
    <w:p>
      <w:pPr>
        <w:pStyle w:val="Heading1"/>
        <w:spacing w:after="160" w:before="380"/>
      </w:pPr>
      <w:r>
        <w:rPr>
          <w:rFonts w:ascii="Calibri" w:cs="Calibri" w:eastAsia="Calibri" w:hAnsi="Calibri"/>
          <w:b/>
          <w:bCs/>
          <w:color w:val="B98A3E"/>
          <w:sz w:val="24"/>
          <w:szCs w:val="24"/>
        </w:rPr>
        <w:t xml:space="preserve">5.  </w:t>
      </w:r>
      <w:r>
        <w:rPr>
          <w:rFonts w:ascii="Calibri" w:cs="Calibri" w:eastAsia="Calibri" w:hAnsi="Calibri"/>
          <w:b/>
          <w:bCs/>
          <w:color w:val="122B5C"/>
          <w:spacing w:val="12"/>
          <w:sz w:val="24"/>
          <w:szCs w:val="24"/>
        </w:rPr>
        <w:t xml:space="preserve">MINIMUM NECESSARY USE OF PHI</w:t>
      </w:r>
    </w:p>
    <w:p>
      <w:pPr>
        <w:spacing w:after="150" w:line="276"/>
      </w:pPr>
      <w:r>
        <w:rPr>
          <w:rFonts w:ascii="Calibri" w:cs="Calibri" w:eastAsia="Calibri" w:hAnsi="Calibri"/>
          <w:b w:val="false"/>
          <w:bCs w:val="false"/>
          <w:i w:val="false"/>
          <w:iCs w:val="false"/>
          <w:color w:val="2F3947"/>
          <w:sz w:val="21"/>
          <w:szCs w:val="21"/>
        </w:rPr>
        <w:t xml:space="preserve">Business Associate shall make reasonable efforts to limit access, use, disclosure, and requests for PHI to the minimum necessary to accomplish the intended purpose, consistent with applicable HIPAA requirements.</w:t>
      </w:r>
    </w:p>
    <w:p>
      <w:pPr>
        <w:spacing w:after="0" w:line="276"/>
      </w:pPr>
      <w:r>
        <w:rPr>
          <w:rFonts w:ascii="Calibri" w:cs="Calibri" w:eastAsia="Calibri" w:hAnsi="Calibri"/>
          <w:b w:val="false"/>
          <w:bCs w:val="false"/>
          <w:i w:val="false"/>
          <w:iCs w:val="false"/>
          <w:color w:val="2F3947"/>
          <w:sz w:val="21"/>
          <w:szCs w:val="21"/>
        </w:rPr>
        <w:t xml:space="preserve">Business Associate shall implement role-based access where reasonably practicable so that personnel receive access appropriate to their assigned responsibilities.</w:t>
      </w:r>
    </w:p>
    <w:p>
      <w:pPr>
        <w:pStyle w:val="Heading1"/>
        <w:spacing w:after="160" w:before="380"/>
      </w:pPr>
      <w:r>
        <w:rPr>
          <w:rFonts w:ascii="Calibri" w:cs="Calibri" w:eastAsia="Calibri" w:hAnsi="Calibri"/>
          <w:b/>
          <w:bCs/>
          <w:color w:val="B98A3E"/>
          <w:sz w:val="24"/>
          <w:szCs w:val="24"/>
        </w:rPr>
        <w:t xml:space="preserve">6.  </w:t>
      </w:r>
      <w:r>
        <w:rPr>
          <w:rFonts w:ascii="Calibri" w:cs="Calibri" w:eastAsia="Calibri" w:hAnsi="Calibri"/>
          <w:b/>
          <w:bCs/>
          <w:color w:val="122B5C"/>
          <w:spacing w:val="12"/>
          <w:sz w:val="24"/>
          <w:szCs w:val="24"/>
        </w:rPr>
        <w:t xml:space="preserve">SAFEGUARDS</w:t>
      </w:r>
    </w:p>
    <w:p>
      <w:pPr>
        <w:spacing w:after="150" w:line="276"/>
      </w:pPr>
      <w:r>
        <w:rPr>
          <w:rFonts w:ascii="Calibri" w:cs="Calibri" w:eastAsia="Calibri" w:hAnsi="Calibri"/>
          <w:b w:val="false"/>
          <w:bCs w:val="false"/>
          <w:i w:val="false"/>
          <w:iCs w:val="false"/>
          <w:color w:val="2F3947"/>
          <w:sz w:val="21"/>
          <w:szCs w:val="21"/>
        </w:rPr>
        <w:t xml:space="preserve">Business Associate shall implement appropriate administrative, physical, and technical safeguards designed to protect PHI and ePHI from unauthorized access, use, disclosure, alteration, or destruction.</w:t>
      </w:r>
    </w:p>
    <w:p>
      <w:pPr>
        <w:spacing w:after="120" w:line="276"/>
      </w:pPr>
      <w:r>
        <w:rPr>
          <w:rFonts w:ascii="Calibri" w:cs="Calibri" w:eastAsia="Calibri" w:hAnsi="Calibri"/>
          <w:b/>
          <w:bCs/>
          <w:i w:val="false"/>
          <w:iCs w:val="false"/>
          <w:color w:val="2F3947"/>
          <w:sz w:val="21"/>
          <w:szCs w:val="21"/>
        </w:rPr>
        <w:t xml:space="preserve">Safeguards may include:</w:t>
      </w:r>
    </w:p>
    <w:p>
      <w:pPr>
        <w:pStyle w:val="ListParagraph"/>
        <w:numPr>
          <w:ilvl w:val="0"/>
          <w:numId w:val="2"/>
        </w:numPr>
        <w:spacing w:after="40" w:line="264"/>
      </w:pPr>
      <w:r>
        <w:rPr>
          <w:rFonts w:ascii="Calibri" w:cs="Calibri" w:eastAsia="Calibri" w:hAnsi="Calibri"/>
          <w:color w:val="2F3947"/>
          <w:sz w:val="21"/>
          <w:szCs w:val="21"/>
        </w:rPr>
        <w:t xml:space="preserve">Individual user accounts;</w:t>
      </w:r>
    </w:p>
    <w:p>
      <w:pPr>
        <w:pStyle w:val="ListParagraph"/>
        <w:numPr>
          <w:ilvl w:val="0"/>
          <w:numId w:val="2"/>
        </w:numPr>
        <w:spacing w:after="40" w:line="264"/>
      </w:pPr>
      <w:r>
        <w:rPr>
          <w:rFonts w:ascii="Calibri" w:cs="Calibri" w:eastAsia="Calibri" w:hAnsi="Calibri"/>
          <w:color w:val="2F3947"/>
          <w:sz w:val="21"/>
          <w:szCs w:val="21"/>
        </w:rPr>
        <w:t xml:space="preserve">Password controls;</w:t>
      </w:r>
    </w:p>
    <w:p>
      <w:pPr>
        <w:pStyle w:val="ListParagraph"/>
        <w:numPr>
          <w:ilvl w:val="0"/>
          <w:numId w:val="2"/>
        </w:numPr>
        <w:spacing w:after="40" w:line="264"/>
      </w:pPr>
      <w:r>
        <w:rPr>
          <w:rFonts w:ascii="Calibri" w:cs="Calibri" w:eastAsia="Calibri" w:hAnsi="Calibri"/>
          <w:color w:val="2F3947"/>
          <w:sz w:val="21"/>
          <w:szCs w:val="21"/>
        </w:rPr>
        <w:t xml:space="preserve">Multi-factor authentication where available;</w:t>
      </w:r>
    </w:p>
    <w:p>
      <w:pPr>
        <w:spacing w:after="180"/>
      </w:pPr>
    </w:p>
    <w:tbl>
      <w:tblPr>
        <w:tblW w:type="dxa" w:w="9360"/>
        <w:tblBorders>
          <w:top w:val="none" w:color="FFFFFF" w:sz="0"/>
          <w:left w:val="single" w:color="9B2C2C" w:sz="18"/>
          <w:bottom w:val="none" w:color="FFFFFF" w:sz="0"/>
          <w:right w:val="none" w:color="FFFFFF" w:sz="0"/>
          <w:insideH w:val="none" w:color="FFFFFF" w:sz="0"/>
          <w:insideV w:val="none" w:color="FFFFFF" w:sz="0"/>
        </w:tblBorders>
      </w:tblPr>
      <w:tblGrid>
        <w:gridCol w:w="9360"/>
      </w:tblGrid>
      <w:tr>
        <w:tc>
          <w:tcPr>
            <w:tcW w:type="dxa" w:w="9360"/>
            <w:shd w:fill="FBF0EC" w:color="auto" w:val="clear"/>
            <w:tcMar>
              <w:top w:type="dxa" w:w="170"/>
              <w:left w:type="dxa" w:w="220"/>
              <w:bottom w:type="dxa" w:w="170"/>
              <w:right w:type="dxa" w:w="220"/>
            </w:tcMar>
          </w:tcPr>
          <w:p>
            <w:pPr>
              <w:spacing w:after="110" w:line="264"/>
            </w:pPr>
            <w:r>
              <w:rPr>
                <w:rFonts w:ascii="Calibri" w:cs="Calibri" w:eastAsia="Calibri" w:hAnsi="Calibri"/>
                <w:b/>
                <w:bCs/>
                <w:i w:val="false"/>
                <w:iCs w:val="false"/>
                <w:color w:val="6B2020"/>
                <w:sz w:val="21"/>
                <w:szCs w:val="21"/>
              </w:rPr>
              <w:t xml:space="preserve">TEXT ENDS HERE</w:t>
            </w:r>
          </w:p>
          <w:p>
            <w:pPr>
              <w:spacing w:after="0" w:line="264"/>
            </w:pPr>
            <w:r>
              <w:rPr>
                <w:rFonts w:ascii="Calibri" w:cs="Calibri" w:eastAsia="Calibri" w:hAnsi="Calibri"/>
                <w:b w:val="false"/>
                <w:bCs w:val="false"/>
                <w:i w:val="false"/>
                <w:iCs w:val="false"/>
                <w:color w:val="6B2020"/>
                <w:sz w:val="21"/>
                <w:szCs w:val="21"/>
              </w:rPr>
              <w:t xml:space="preserve">The source text stops mid-word at the next bullet (“Ro…”) and no further sections were supplied. Section 6 is incomplete and Sections 7 onward are missing entirely.</w:t>
            </w:r>
          </w:p>
        </w:tc>
      </w:tr>
    </w:tbl>
    <w:sectPr>
      <w:footerReference w:type="default" r:id="rId6"/>
      <w:pgSz w:w="12240" w:h="15840" w:orient="portrait"/>
      <w:pgMar w:top="1440" w:right="1440" w:bottom="1440" w:left="1440" w:header="708" w:footer="72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DE3EC" w:sz="4"/>
      </w:pBdr>
      <w:spacing w:before="60"/>
    </w:pPr>
  </w:p>
  <w:p>
    <w:r>
      <w:rPr>
        <w:rFonts w:ascii="Calibri" w:cs="Calibri" w:eastAsia="Calibri" w:hAnsi="Calibri"/>
        <w:color w:val="9B2C2C"/>
        <w:sz w:val="16"/>
        <w:szCs w:val="16"/>
      </w:rPr>
      <w:t xml:space="preserve">Business Associate Agreement  ·  INCOMPLETE DRAFT — NOT FOR EXECUTION  ·  Page </w:t>
    </w:r>
    <w:r>
      <w:rPr>
        <w:rFonts w:ascii="Calibri" w:cs="Calibri" w:eastAsia="Calibri" w:hAnsi="Calibri"/>
        <w:color w:val="9B2C2C"/>
        <w:sz w:val="16"/>
        <w:szCs w:val="16"/>
      </w:rPr>
      <w:fldChar w:fldCharType="begin"/>
      <w:instrText xml:space="preserve">PAGE</w:instrText>
      <w:fldChar w:fldCharType="separate"/>
      <w:fldChar w:fldCharType="end"/>
    </w:r>
    <w:r>
      <w:rPr>
        <w:rFonts w:ascii="Calibri" w:cs="Calibri" w:eastAsia="Calibri" w:hAnsi="Calibri"/>
        <w:color w:val="9B2C2C"/>
        <w:sz w:val="16"/>
        <w:szCs w:val="16"/>
      </w:rPr>
      <w:t xml:space="preserve"> of </w:t>
    </w:r>
    <w:r>
      <w:rPr>
        <w:rFonts w:ascii="Calibri" w:cs="Calibri" w:eastAsia="Calibri" w:hAnsi="Calibri"/>
        <w:color w:val="9B2C2C"/>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504" w:hanging="252"/>
      </w:pPr>
      <w:rPr>
        <w:color w:val="B98A3E"/>
      </w:rPr>
    </w:lvl>
  </w:abstractNum>
  <w:abstractNum w:abstractNumId="3" w15:restartNumberingAfterBreak="0">
    <w:multiLevelType w:val="hybridMultilevel"/>
    <w:lvl w:ilvl="0" w:tentative="1">
      <w:start w:val="1"/>
      <w:numFmt w:val="decimal"/>
      <w:lvlText w:val="%1."/>
      <w:lvlJc w:val="left"/>
      <w:pPr>
        <w:ind w:left="504" w:hanging="252"/>
      </w:pPr>
      <w:rPr>
        <w:b/>
        <w:bCs/>
        <w:color w:val="122B5C"/>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Associate Agreement (incomplete draft)</dc:title>
  <dc:creator>CareBridge Financial Management LLC</dc:creator>
  <dc:description>BAA between CareBridge Financial Management LLC and Healthcare Provider - incomplete draft, not for execution</dc:description>
  <cp:lastModifiedBy>Un-named</cp:lastModifiedBy>
  <cp:revision>1</cp:revision>
  <dcterms:created xsi:type="dcterms:W3CDTF">2026-09-28T22:04:04.344Z</dcterms:created>
  <dcterms:modified xsi:type="dcterms:W3CDTF">2026-09-28T22:04:04.345Z</dcterms:modified>
</cp:coreProperties>
</file>

<file path=docProps/custom.xml><?xml version="1.0" encoding="utf-8"?>
<Properties xmlns="http://schemas.openxmlformats.org/officeDocument/2006/custom-properties" xmlns:vt="http://schemas.openxmlformats.org/officeDocument/2006/docPropsVTypes"/>
</file>